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rPr>
          <w:rFonts w:ascii="Cambria" w:cs="Cambria" w:hAnsi="Cambria" w:eastAsia="Cambria"/>
          <w:i w:val="1"/>
          <w:iCs w:val="1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four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probes: (1-initiates drain 1, 1-initiates drain 2, 1-stops drain 1, 1-stops drain 2).  Drain 1 and 2 shall </w:t>
      </w:r>
      <w:r>
        <w:rPr>
          <w:rFonts w:ascii="Cambria" w:hAnsi="Cambria"/>
          <w:sz w:val="28"/>
          <w:szCs w:val="28"/>
          <w:rtl w:val="0"/>
          <w:lang w:val="en-US"/>
        </w:rPr>
        <w:t>operate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in sequence.  The control panel shall use two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(1-drain 1 relay, 1-drain 2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the 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 9400</w:t>
      </w:r>
      <w:r>
        <w:rPr>
          <w:rFonts w:ascii="Cambria" w:hAnsi="Cambria"/>
          <w:sz w:val="28"/>
          <w:szCs w:val="28"/>
          <w:rtl w:val="0"/>
          <w:lang w:val="en-US"/>
        </w:rPr>
        <w:t>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